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5AB" w:rsidRPr="0071782B" w:rsidRDefault="00534B16" w:rsidP="0071782B">
      <w:pPr>
        <w:ind w:firstLine="454"/>
        <w:jc w:val="center"/>
        <w:rPr>
          <w:rFonts w:ascii="Alegreya" w:hAnsi="Alegreya"/>
          <w:i/>
          <w:sz w:val="24"/>
          <w:szCs w:val="24"/>
        </w:rPr>
      </w:pPr>
      <w:r w:rsidRPr="0071782B">
        <w:rPr>
          <w:rFonts w:ascii="Alegreya" w:eastAsia="Arial" w:hAnsi="Alegreya" w:cs="Arial"/>
          <w:i/>
          <w:iCs/>
          <w:sz w:val="24"/>
          <w:szCs w:val="24"/>
        </w:rPr>
        <w:t>Modelo preenchido: a Rusga (Cuiabá, 1834). Este tema não será apresentado por nenhum grupo.</w:t>
      </w:r>
    </w:p>
    <w:p w:rsidR="008D05AB" w:rsidRPr="0071782B" w:rsidRDefault="00534B16" w:rsidP="0071782B">
      <w:pPr>
        <w:shd w:val="clear" w:color="auto" w:fill="FFFFFF" w:themeFill="background1"/>
        <w:spacing w:before="60" w:after="160"/>
        <w:ind w:firstLine="454"/>
        <w:jc w:val="center"/>
        <w:rPr>
          <w:rFonts w:ascii="Alegreya" w:hAnsi="Alegreya"/>
          <w:sz w:val="40"/>
          <w:szCs w:val="40"/>
        </w:rPr>
      </w:pPr>
      <w:r w:rsidRPr="0071782B">
        <w:rPr>
          <w:rFonts w:ascii="Alegreya" w:hAnsi="Alegreya"/>
          <w:b/>
          <w:bCs/>
          <w:sz w:val="40"/>
          <w:szCs w:val="40"/>
        </w:rPr>
        <w:t>Ficha de pesquisa</w:t>
      </w:r>
    </w:p>
    <w:p w:rsidR="00085A59" w:rsidRDefault="00085A59" w:rsidP="0071782B">
      <w:pPr>
        <w:spacing w:after="120" w:line="300" w:lineRule="auto"/>
        <w:ind w:firstLine="454"/>
        <w:rPr>
          <w:rFonts w:ascii="Alegreya" w:hAnsi="Alegreya"/>
          <w:sz w:val="24"/>
          <w:szCs w:val="24"/>
        </w:rPr>
      </w:pPr>
      <w:r w:rsidRPr="00085A59">
        <w:rPr>
          <w:rFonts w:ascii="Alegreya" w:hAnsi="Alegreya"/>
          <w:sz w:val="24"/>
          <w:szCs w:val="24"/>
        </w:rPr>
        <w:t>Turma</w:t>
      </w:r>
      <w:r w:rsidRPr="00085A59">
        <w:rPr>
          <w:rFonts w:ascii="Alegreya" w:hAnsi="Alegreya"/>
          <w:sz w:val="24"/>
          <w:szCs w:val="24"/>
        </w:rPr>
        <w:tab/>
        <w:t xml:space="preserve">8º ano, turma </w:t>
      </w:r>
      <w:r>
        <w:rPr>
          <w:rFonts w:ascii="Alegreya" w:hAnsi="Alegreya"/>
          <w:sz w:val="24"/>
          <w:szCs w:val="24"/>
        </w:rPr>
        <w:t xml:space="preserve">840 </w:t>
      </w:r>
    </w:p>
    <w:p w:rsidR="00085A59" w:rsidRDefault="00085A59" w:rsidP="0071782B">
      <w:pPr>
        <w:spacing w:after="120" w:line="300" w:lineRule="auto"/>
        <w:ind w:firstLine="454"/>
        <w:rPr>
          <w:rFonts w:ascii="Alegreya" w:hAnsi="Alegreya"/>
          <w:sz w:val="24"/>
          <w:szCs w:val="24"/>
        </w:rPr>
      </w:pPr>
      <w:r>
        <w:rPr>
          <w:rFonts w:ascii="Alegreya" w:hAnsi="Alegreya"/>
          <w:sz w:val="24"/>
          <w:szCs w:val="24"/>
        </w:rPr>
        <w:t xml:space="preserve">Revolta escolhida: </w:t>
      </w:r>
      <w:r w:rsidRPr="00085A59">
        <w:rPr>
          <w:rFonts w:ascii="Alegreya" w:hAnsi="Alegreya"/>
          <w:sz w:val="24"/>
          <w:szCs w:val="24"/>
        </w:rPr>
        <w:t xml:space="preserve">Rusga, também chamada de Sedição de 30 de maio. </w:t>
      </w:r>
    </w:p>
    <w:p w:rsidR="00085A59" w:rsidRPr="00085A59" w:rsidRDefault="00085A59" w:rsidP="0071782B">
      <w:pPr>
        <w:spacing w:after="120" w:line="300" w:lineRule="auto"/>
        <w:ind w:firstLine="454"/>
        <w:rPr>
          <w:rFonts w:ascii="Alegreya" w:hAnsi="Alegreya"/>
          <w:sz w:val="24"/>
          <w:szCs w:val="24"/>
        </w:rPr>
      </w:pPr>
      <w:r w:rsidRPr="00085A59">
        <w:rPr>
          <w:rFonts w:ascii="Alegreya" w:hAnsi="Alegreya"/>
          <w:sz w:val="24"/>
          <w:szCs w:val="24"/>
        </w:rPr>
        <w:t>Cuiabá, província de Mato Grosso, 30 de maio de 1834.</w:t>
      </w:r>
    </w:p>
    <w:p w:rsidR="00085A59" w:rsidRPr="00085A59" w:rsidRDefault="00085A59" w:rsidP="0071782B">
      <w:pPr>
        <w:spacing w:after="120" w:line="300" w:lineRule="auto"/>
        <w:ind w:firstLine="454"/>
        <w:rPr>
          <w:rFonts w:ascii="Alegreya" w:hAnsi="Alegreya"/>
          <w:sz w:val="24"/>
          <w:szCs w:val="24"/>
        </w:rPr>
      </w:pPr>
      <w:r w:rsidRPr="00085A59">
        <w:rPr>
          <w:rFonts w:ascii="Alegreya" w:hAnsi="Alegreya"/>
          <w:sz w:val="24"/>
          <w:szCs w:val="24"/>
        </w:rPr>
        <w:t>Data da apresentação</w:t>
      </w:r>
      <w:r w:rsidRPr="00085A59">
        <w:rPr>
          <w:rFonts w:ascii="Alegreya" w:hAnsi="Alegreya"/>
          <w:sz w:val="24"/>
          <w:szCs w:val="24"/>
        </w:rPr>
        <w:tab/>
      </w:r>
      <w:r>
        <w:rPr>
          <w:rFonts w:ascii="Alegreya" w:hAnsi="Alegreya"/>
          <w:sz w:val="24"/>
          <w:szCs w:val="24"/>
        </w:rPr>
        <w:t>: 28/02/2026</w:t>
      </w:r>
      <w:bookmarkStart w:id="0" w:name="_GoBack"/>
      <w:bookmarkEnd w:id="0"/>
    </w:p>
    <w:p w:rsidR="0071782B" w:rsidRDefault="00534B16" w:rsidP="0071782B">
      <w:pPr>
        <w:keepNext/>
        <w:spacing w:before="160" w:after="80"/>
        <w:ind w:firstLine="454"/>
        <w:rPr>
          <w:rFonts w:ascii="Alegreya" w:hAnsi="Alegreya"/>
          <w:b/>
          <w:bCs/>
          <w:sz w:val="24"/>
          <w:szCs w:val="24"/>
        </w:rPr>
      </w:pPr>
      <w:r w:rsidRPr="00085A59">
        <w:rPr>
          <w:rFonts w:ascii="Alegreya" w:hAnsi="Alegreya"/>
          <w:b/>
          <w:bCs/>
          <w:sz w:val="24"/>
          <w:szCs w:val="24"/>
        </w:rPr>
        <w:t>Integrantes e parte de cada um</w:t>
      </w:r>
    </w:p>
    <w:p w:rsidR="0071782B" w:rsidRPr="0071782B" w:rsidRDefault="0071782B" w:rsidP="008B4C1D">
      <w:pPr>
        <w:pStyle w:val="PargrafodaLista"/>
        <w:keepNext/>
        <w:numPr>
          <w:ilvl w:val="0"/>
          <w:numId w:val="3"/>
        </w:numPr>
        <w:ind w:left="0"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 xml:space="preserve">Osvaldino Cruz: </w:t>
      </w:r>
      <w:r w:rsidRPr="0071782B">
        <w:rPr>
          <w:rFonts w:ascii="Alegreya" w:hAnsi="Alegreya"/>
          <w:bCs/>
          <w:sz w:val="24"/>
          <w:szCs w:val="24"/>
        </w:rPr>
        <w:t>Abertura do seminário e item 1: contexto do período regencial em 1834.</w:t>
      </w:r>
      <w:r w:rsidRPr="0071782B">
        <w:rPr>
          <w:rFonts w:ascii="Alegreya" w:hAnsi="Alegreya"/>
          <w:bCs/>
          <w:sz w:val="24"/>
          <w:szCs w:val="24"/>
        </w:rPr>
        <w:tab/>
        <w:t>3 min</w:t>
      </w:r>
    </w:p>
    <w:p w:rsidR="0071782B" w:rsidRPr="0071782B" w:rsidRDefault="0071782B" w:rsidP="0071782B">
      <w:pPr>
        <w:pStyle w:val="PargrafodaLista"/>
        <w:keepNext/>
        <w:numPr>
          <w:ilvl w:val="0"/>
          <w:numId w:val="3"/>
        </w:numPr>
        <w:ind w:left="0"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>Bartolina</w:t>
      </w:r>
      <w:r>
        <w:rPr>
          <w:rFonts w:ascii="Alegreya" w:hAnsi="Alegreya"/>
          <w:b/>
          <w:bCs/>
          <w:sz w:val="24"/>
          <w:szCs w:val="24"/>
        </w:rPr>
        <w:t xml:space="preserve"> Almeida</w:t>
      </w:r>
      <w:r w:rsidRPr="0071782B">
        <w:rPr>
          <w:rFonts w:ascii="Alegreya" w:hAnsi="Alegreya"/>
          <w:b/>
          <w:bCs/>
          <w:sz w:val="24"/>
          <w:szCs w:val="24"/>
        </w:rPr>
        <w:t xml:space="preserve">:  </w:t>
      </w:r>
      <w:r w:rsidRPr="0071782B">
        <w:rPr>
          <w:rFonts w:ascii="Alegreya" w:hAnsi="Alegreya"/>
          <w:bCs/>
          <w:sz w:val="24"/>
          <w:szCs w:val="24"/>
        </w:rPr>
        <w:t>Item 2: localização de Mato Grosso, economia e grupos que disputavam o poder em Cuiabá.</w:t>
      </w:r>
      <w:r w:rsidRPr="0071782B">
        <w:rPr>
          <w:rFonts w:ascii="Alegreya" w:hAnsi="Alegreya"/>
          <w:bCs/>
          <w:sz w:val="24"/>
          <w:szCs w:val="24"/>
        </w:rPr>
        <w:tab/>
      </w:r>
    </w:p>
    <w:p w:rsidR="0071782B" w:rsidRPr="0071782B" w:rsidRDefault="0071782B" w:rsidP="0071782B">
      <w:pPr>
        <w:pStyle w:val="PargrafodaLista"/>
        <w:keepNext/>
        <w:ind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Cs/>
          <w:sz w:val="24"/>
          <w:szCs w:val="24"/>
        </w:rPr>
        <w:t>3 min</w:t>
      </w:r>
    </w:p>
    <w:p w:rsidR="0071782B" w:rsidRPr="0071782B" w:rsidRDefault="0071782B" w:rsidP="0071782B">
      <w:pPr>
        <w:pStyle w:val="PargrafodaLista"/>
        <w:keepNext/>
        <w:numPr>
          <w:ilvl w:val="0"/>
          <w:numId w:val="3"/>
        </w:numPr>
        <w:ind w:left="0"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>Eraldilei</w:t>
      </w:r>
      <w:r w:rsidRPr="0071782B">
        <w:rPr>
          <w:rFonts w:ascii="Alegreya" w:hAnsi="Alegreya"/>
          <w:b/>
          <w:bCs/>
          <w:sz w:val="24"/>
          <w:szCs w:val="24"/>
        </w:rPr>
        <w:t>a</w:t>
      </w:r>
      <w:r>
        <w:rPr>
          <w:rFonts w:ascii="Alegreya" w:hAnsi="Alegreya"/>
          <w:b/>
          <w:bCs/>
          <w:sz w:val="24"/>
          <w:szCs w:val="24"/>
        </w:rPr>
        <w:t xml:space="preserve"> dos Anjos</w:t>
      </w:r>
      <w:r w:rsidRPr="0071782B">
        <w:rPr>
          <w:rFonts w:ascii="Alegreya" w:hAnsi="Alegreya"/>
          <w:b/>
          <w:bCs/>
          <w:sz w:val="24"/>
          <w:szCs w:val="24"/>
        </w:rPr>
        <w:t xml:space="preserve">: </w:t>
      </w:r>
      <w:r w:rsidRPr="0071782B">
        <w:rPr>
          <w:rFonts w:ascii="Alegreya" w:hAnsi="Alegreya"/>
          <w:bCs/>
          <w:sz w:val="24"/>
          <w:szCs w:val="24"/>
        </w:rPr>
        <w:t>Item 3: estopim, da posse de Poupino Caldas à noite de 30 de maio.</w:t>
      </w:r>
      <w:r w:rsidRPr="0071782B">
        <w:rPr>
          <w:rFonts w:ascii="Alegreya" w:hAnsi="Alegreya"/>
          <w:bCs/>
          <w:sz w:val="24"/>
          <w:szCs w:val="24"/>
        </w:rPr>
        <w:tab/>
      </w:r>
    </w:p>
    <w:p w:rsidR="0071782B" w:rsidRPr="0071782B" w:rsidRDefault="0071782B" w:rsidP="0071782B">
      <w:pPr>
        <w:pStyle w:val="PargrafodaLista"/>
        <w:keepNext/>
        <w:ind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Cs/>
          <w:sz w:val="24"/>
          <w:szCs w:val="24"/>
        </w:rPr>
        <w:t>3 min</w:t>
      </w:r>
    </w:p>
    <w:p w:rsidR="0071782B" w:rsidRPr="0071782B" w:rsidRDefault="0071782B" w:rsidP="0071782B">
      <w:pPr>
        <w:pStyle w:val="PargrafodaLista"/>
        <w:keepNext/>
        <w:numPr>
          <w:ilvl w:val="0"/>
          <w:numId w:val="3"/>
        </w:numPr>
        <w:ind w:left="0"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>Orcineu</w:t>
      </w:r>
      <w:r>
        <w:rPr>
          <w:rFonts w:ascii="Alegreya" w:hAnsi="Alegreya"/>
          <w:b/>
          <w:bCs/>
          <w:sz w:val="24"/>
          <w:szCs w:val="24"/>
        </w:rPr>
        <w:t xml:space="preserve"> Buarque</w:t>
      </w:r>
      <w:r w:rsidRPr="0071782B">
        <w:rPr>
          <w:rFonts w:ascii="Alegreya" w:hAnsi="Alegreya"/>
          <w:b/>
          <w:bCs/>
          <w:sz w:val="24"/>
          <w:szCs w:val="24"/>
        </w:rPr>
        <w:t xml:space="preserve">: </w:t>
      </w:r>
      <w:r w:rsidRPr="0071782B">
        <w:rPr>
          <w:rFonts w:ascii="Alegreya" w:hAnsi="Alegreya"/>
          <w:bCs/>
          <w:sz w:val="24"/>
          <w:szCs w:val="24"/>
        </w:rPr>
        <w:t xml:space="preserve">Item 4, primeira parte: organização dos rebeldes e os três </w:t>
      </w:r>
      <w:r w:rsidRPr="0071782B">
        <w:rPr>
          <w:rFonts w:ascii="Alegreya" w:hAnsi="Alegreya"/>
          <w:bCs/>
          <w:sz w:val="24"/>
          <w:szCs w:val="24"/>
        </w:rPr>
        <w:t>meses no controle da província.</w:t>
      </w:r>
    </w:p>
    <w:p w:rsidR="0071782B" w:rsidRPr="0071782B" w:rsidRDefault="0071782B" w:rsidP="0071782B">
      <w:pPr>
        <w:pStyle w:val="PargrafodaLista"/>
        <w:keepNext/>
        <w:ind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Cs/>
          <w:sz w:val="24"/>
          <w:szCs w:val="24"/>
        </w:rPr>
        <w:t>2 min</w:t>
      </w:r>
    </w:p>
    <w:p w:rsidR="0071782B" w:rsidRPr="0071782B" w:rsidRDefault="0071782B" w:rsidP="0071782B">
      <w:pPr>
        <w:pStyle w:val="PargrafodaLista"/>
        <w:keepNext/>
        <w:numPr>
          <w:ilvl w:val="0"/>
          <w:numId w:val="3"/>
        </w:numPr>
        <w:ind w:left="0"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>Leondina</w:t>
      </w:r>
      <w:r>
        <w:rPr>
          <w:rFonts w:ascii="Alegreya" w:hAnsi="Alegreya"/>
          <w:b/>
          <w:bCs/>
          <w:sz w:val="24"/>
          <w:szCs w:val="24"/>
        </w:rPr>
        <w:t xml:space="preserve"> Silvestre</w:t>
      </w:r>
      <w:r w:rsidRPr="0071782B">
        <w:rPr>
          <w:rFonts w:ascii="Alegreya" w:hAnsi="Alegreya"/>
          <w:b/>
          <w:bCs/>
          <w:sz w:val="24"/>
          <w:szCs w:val="24"/>
        </w:rPr>
        <w:t xml:space="preserve">: </w:t>
      </w:r>
      <w:r w:rsidRPr="0071782B">
        <w:rPr>
          <w:rFonts w:ascii="Alegreya" w:hAnsi="Alegreya"/>
          <w:bCs/>
          <w:sz w:val="24"/>
          <w:szCs w:val="24"/>
        </w:rPr>
        <w:t>Item 4, segunda parte: repressão, julgamento, número de mortos e memória. Organiza a rodada de perguntas.</w:t>
      </w:r>
      <w:r w:rsidRPr="0071782B">
        <w:rPr>
          <w:rFonts w:ascii="Alegreya" w:hAnsi="Alegreya"/>
          <w:bCs/>
          <w:sz w:val="24"/>
          <w:szCs w:val="24"/>
        </w:rPr>
        <w:tab/>
      </w:r>
    </w:p>
    <w:p w:rsidR="0071782B" w:rsidRPr="0071782B" w:rsidRDefault="0071782B" w:rsidP="0071782B">
      <w:pPr>
        <w:pStyle w:val="PargrafodaLista"/>
        <w:keepNext/>
        <w:ind w:firstLine="454"/>
        <w:rPr>
          <w:rFonts w:ascii="Alegreya" w:hAnsi="Alegreya"/>
          <w:bCs/>
          <w:sz w:val="24"/>
          <w:szCs w:val="24"/>
        </w:rPr>
      </w:pPr>
      <w:r w:rsidRPr="0071782B">
        <w:rPr>
          <w:rFonts w:ascii="Alegreya" w:hAnsi="Alegreya"/>
          <w:bCs/>
          <w:sz w:val="24"/>
          <w:szCs w:val="24"/>
        </w:rPr>
        <w:t>2 min</w:t>
      </w:r>
    </w:p>
    <w:p w:rsidR="008D05AB" w:rsidRPr="0071782B" w:rsidRDefault="00534B16" w:rsidP="0071782B">
      <w:pPr>
        <w:keepNext/>
        <w:ind w:firstLine="454"/>
        <w:rPr>
          <w:rFonts w:ascii="Alegreya" w:hAnsi="Alegreya"/>
          <w:i/>
          <w:iCs/>
          <w:sz w:val="24"/>
          <w:szCs w:val="24"/>
        </w:rPr>
      </w:pPr>
      <w:r w:rsidRPr="0071782B">
        <w:rPr>
          <w:rFonts w:ascii="Alegreya" w:hAnsi="Alegreya"/>
          <w:i/>
          <w:iCs/>
          <w:sz w:val="24"/>
          <w:szCs w:val="24"/>
        </w:rPr>
        <w:t>Total: 13 minutos de apresentação e 2 minutos de perguntas.</w:t>
      </w:r>
    </w:p>
    <w:p w:rsidR="00085A59" w:rsidRPr="0071782B" w:rsidRDefault="00085A59" w:rsidP="0071782B">
      <w:pPr>
        <w:tabs>
          <w:tab w:val="left" w:pos="2325"/>
        </w:tabs>
        <w:spacing w:before="60" w:after="60" w:line="300" w:lineRule="auto"/>
        <w:ind w:firstLine="454"/>
        <w:rPr>
          <w:rFonts w:ascii="Alegreya" w:hAnsi="Alegreya"/>
          <w:b/>
          <w:sz w:val="24"/>
          <w:szCs w:val="24"/>
        </w:rPr>
      </w:pPr>
      <w:r w:rsidRPr="0071782B">
        <w:rPr>
          <w:rFonts w:ascii="Alegreya" w:hAnsi="Alegreya"/>
          <w:b/>
          <w:sz w:val="24"/>
          <w:szCs w:val="24"/>
        </w:rPr>
        <w:t>Resumo da revolta:</w:t>
      </w:r>
      <w:r w:rsidR="0071782B" w:rsidRPr="0071782B">
        <w:rPr>
          <w:rFonts w:ascii="Alegreya" w:hAnsi="Alegreya"/>
          <w:b/>
          <w:sz w:val="24"/>
          <w:szCs w:val="24"/>
        </w:rPr>
        <w:tab/>
      </w:r>
    </w:p>
    <w:p w:rsidR="00085A59" w:rsidRPr="00085A59" w:rsidRDefault="00085A59" w:rsidP="0071782B">
      <w:pPr>
        <w:spacing w:before="60" w:after="60" w:line="300" w:lineRule="auto"/>
        <w:ind w:firstLine="454"/>
        <w:rPr>
          <w:rFonts w:ascii="Alegreya" w:hAnsi="Alegreya"/>
          <w:sz w:val="24"/>
          <w:szCs w:val="24"/>
        </w:rPr>
      </w:pPr>
      <w:r w:rsidRPr="00085A59">
        <w:rPr>
          <w:rFonts w:ascii="Alegreya" w:hAnsi="Alegreya"/>
          <w:sz w:val="24"/>
          <w:szCs w:val="24"/>
        </w:rPr>
        <w:t>Na noite de 30 de maio de 1834, cerca de oitenta homens, entre soldados da Guarda Nacional e moradores de Cuiabá, atacaram casas e lojas de portugueses, chamados de "bicudos". O levante foi planejado por membros da Sociedade dos Zelosos da Independência, uma associação liberal que queria tirar da presidência e dos altos cargos da província a elite ligada aos portugueses. O grupo controlou a província por cerca de três meses, até a posse de Antônio Pedro de Alencastro, nomeado pela Regência, que processou os envolvidos.</w:t>
      </w:r>
    </w:p>
    <w:p w:rsidR="0071782B" w:rsidRDefault="0071782B" w:rsidP="0071782B">
      <w:pPr>
        <w:ind w:firstLine="454"/>
        <w:rPr>
          <w:rFonts w:ascii="Alegreya" w:hAnsi="Alegreya"/>
          <w:b/>
          <w:bCs/>
          <w:sz w:val="40"/>
          <w:szCs w:val="40"/>
        </w:rPr>
      </w:pPr>
      <w:r>
        <w:rPr>
          <w:rFonts w:ascii="Alegreya" w:hAnsi="Alegreya"/>
          <w:b/>
          <w:bCs/>
          <w:sz w:val="40"/>
          <w:szCs w:val="40"/>
        </w:rPr>
        <w:br w:type="page"/>
      </w:r>
    </w:p>
    <w:p w:rsidR="008D05AB" w:rsidRPr="00085A59" w:rsidRDefault="00534B16" w:rsidP="0071782B">
      <w:pPr>
        <w:shd w:val="clear" w:color="auto" w:fill="FFFFFF" w:themeFill="background1"/>
        <w:spacing w:before="60" w:after="160"/>
        <w:ind w:firstLine="454"/>
        <w:rPr>
          <w:rFonts w:ascii="Alegreya" w:hAnsi="Alegreya"/>
          <w:b/>
          <w:bCs/>
          <w:sz w:val="40"/>
          <w:szCs w:val="40"/>
        </w:rPr>
      </w:pPr>
      <w:r w:rsidRPr="00085A59">
        <w:rPr>
          <w:rFonts w:ascii="Alegreya" w:hAnsi="Alegreya"/>
          <w:b/>
          <w:bCs/>
          <w:sz w:val="40"/>
          <w:szCs w:val="40"/>
        </w:rPr>
        <w:lastRenderedPageBreak/>
        <w:t>Roteiro de apresentação</w:t>
      </w:r>
    </w:p>
    <w:p w:rsidR="008D05AB" w:rsidRPr="00085A59" w:rsidRDefault="00534B16" w:rsidP="0071782B">
      <w:pPr>
        <w:keepNext/>
        <w:spacing w:before="160" w:after="80" w:line="300" w:lineRule="auto"/>
        <w:ind w:firstLine="454"/>
        <w:rPr>
          <w:rFonts w:ascii="Alegreya" w:hAnsi="Alegreya"/>
          <w:b/>
          <w:bCs/>
          <w:sz w:val="24"/>
          <w:szCs w:val="24"/>
        </w:rPr>
      </w:pPr>
      <w:r w:rsidRPr="00085A59">
        <w:rPr>
          <w:rFonts w:ascii="Alegreya" w:hAnsi="Alegreya"/>
          <w:b/>
          <w:bCs/>
          <w:sz w:val="24"/>
          <w:szCs w:val="24"/>
        </w:rPr>
        <w:t>1. Contexto do período regencial</w:t>
      </w:r>
      <w:r w:rsidRPr="00085A59">
        <w:rPr>
          <w:rFonts w:ascii="Alegreya" w:hAnsi="Alegreya"/>
          <w:b/>
          <w:bCs/>
          <w:sz w:val="24"/>
          <w:szCs w:val="24"/>
        </w:rPr>
        <w:t xml:space="preserve">     Integrante 1  </w:t>
      </w:r>
      <w:r w:rsidR="00085A59">
        <w:rPr>
          <w:rFonts w:ascii="Alegreya" w:hAnsi="Alegreya"/>
          <w:b/>
          <w:bCs/>
          <w:sz w:val="24"/>
          <w:szCs w:val="24"/>
        </w:rPr>
        <w:t xml:space="preserve">-  </w:t>
      </w:r>
      <w:r w:rsidRPr="00085A59">
        <w:rPr>
          <w:rFonts w:ascii="Alegreya" w:hAnsi="Alegreya"/>
          <w:b/>
          <w:bCs/>
          <w:sz w:val="24"/>
          <w:szCs w:val="24"/>
        </w:rPr>
        <w:t>3 min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Em 1834 o Brasil era governado pela Regência</w:t>
      </w:r>
      <w:r w:rsidRPr="00085A59">
        <w:rPr>
          <w:rFonts w:ascii="Alegreya" w:hAnsi="Alegreya"/>
          <w:color w:val="1F1A17"/>
        </w:rPr>
        <w:t xml:space="preserve"> Trina Permanente, eleita em 1831: o brigadeiro Francisco de Lima e Silva e os deputados José da Costa Carvalho e João Bráulio Muniz.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A política nacional se dividia entre liberais moderados, liberais exaltados e restauradores, também chamados de caramurus,</w:t>
      </w:r>
      <w:r w:rsidRPr="00085A59">
        <w:rPr>
          <w:rFonts w:ascii="Alegreya" w:hAnsi="Alegreya"/>
          <w:color w:val="1F1A17"/>
        </w:rPr>
        <w:t xml:space="preserve"> que defendiam a volta de D. Pedro I.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A Constituição de 1824 separava o brasileiro nato do brasileiro adotivo, o português naturalizado. Depois da abdicação, cresceu a hostilidade contra os adotivos que ocupavam cargos públicos e controlavam o comércio.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>Li</w:t>
      </w:r>
      <w:r w:rsidRPr="00085A59">
        <w:rPr>
          <w:rFonts w:ascii="Alegreya" w:hAnsi="Alegreya"/>
          <w:b/>
          <w:bCs/>
          <w:color w:val="1F1A17"/>
        </w:rPr>
        <w:t xml:space="preserve">gação com a Rusga: </w:t>
      </w:r>
      <w:r w:rsidRPr="00085A59">
        <w:rPr>
          <w:rFonts w:ascii="Alegreya" w:hAnsi="Alegreya"/>
          <w:color w:val="1F1A17"/>
        </w:rPr>
        <w:t>a revolta aconteceu em maio, três meses antes do Ato Adicional de agosto de 1834. Ainda não havia assembleia provincial, e a grande disputa era pela presidência da província e pelos cargos nomeados a partir do Rio de Janeiro.</w:t>
      </w:r>
    </w:p>
    <w:p w:rsidR="008D05AB" w:rsidRPr="00085A59" w:rsidRDefault="00534B16" w:rsidP="0071782B">
      <w:pPr>
        <w:keepNext/>
        <w:shd w:val="clear" w:color="auto" w:fill="FFFFFF" w:themeFill="background1"/>
        <w:spacing w:before="200" w:after="100"/>
        <w:ind w:firstLine="454"/>
        <w:rPr>
          <w:rFonts w:ascii="Alegreya" w:hAnsi="Alegreya"/>
          <w:b/>
          <w:bCs/>
          <w:sz w:val="28"/>
          <w:szCs w:val="28"/>
        </w:rPr>
      </w:pPr>
      <w:r w:rsidRPr="00085A59">
        <w:rPr>
          <w:rFonts w:ascii="Alegreya" w:hAnsi="Alegreya"/>
          <w:b/>
          <w:bCs/>
          <w:sz w:val="28"/>
          <w:szCs w:val="28"/>
        </w:rPr>
        <w:t>2. Localização e contradições do lugar</w:t>
      </w:r>
      <w:r w:rsidR="00085A59">
        <w:rPr>
          <w:rFonts w:ascii="Alegreya" w:hAnsi="Alegreya"/>
          <w:b/>
          <w:bCs/>
          <w:sz w:val="28"/>
          <w:szCs w:val="28"/>
        </w:rPr>
        <w:t xml:space="preserve">     Integrante 2  - </w:t>
      </w:r>
      <w:r w:rsidRPr="00085A59">
        <w:rPr>
          <w:rFonts w:ascii="Alegreya" w:hAnsi="Alegreya"/>
          <w:b/>
          <w:bCs/>
          <w:sz w:val="28"/>
          <w:szCs w:val="28"/>
        </w:rPr>
        <w:t xml:space="preserve"> 3 min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Mato Grosso ficava no extremo oeste do Império, na fronteira com a Bolívia e o Paraguai. Cuiabá era a principal cidade e sede de fato do governo, embora a mudança oficial da capital, de Vila</w:t>
      </w:r>
      <w:r w:rsidRPr="00085A59">
        <w:rPr>
          <w:rFonts w:ascii="Alegreya" w:hAnsi="Alegreya"/>
          <w:color w:val="1F1A17"/>
        </w:rPr>
        <w:t xml:space="preserve"> Bela para Cuiabá, só tenha sido aprovada em 1835.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A viagem até o Rio de Janeiro levava meses, pelos rios ou por terra, passando por Goiás. Notícias e ordens chegavam com enorme atraso.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A mineração de ouro, que tinha criado a vila no século XVIII, estava e</w:t>
      </w:r>
      <w:r w:rsidRPr="00085A59">
        <w:rPr>
          <w:rFonts w:ascii="Alegreya" w:hAnsi="Alegreya"/>
          <w:color w:val="1F1A17"/>
        </w:rPr>
        <w:t>m declínio. Nos arredores havia engenhos, criação de gado e roças, e o comércio de importação era dominado em boa parte por negociantes portugueses.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 xml:space="preserve">Quem trabalhava: pessoas escravizadas, indígenas, trabalhadores livres pobres e soldados de baixa patente. </w:t>
      </w:r>
      <w:r w:rsidRPr="00085A59">
        <w:rPr>
          <w:rFonts w:ascii="Alegreya" w:hAnsi="Alegreya"/>
          <w:color w:val="1F1A17"/>
        </w:rPr>
        <w:t>Quem mandava: a elite tradicional, de portugueses e brasileiros, que ainda ocupava a presidência e os altos postos militares.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Tensão principal: </w:t>
      </w:r>
      <w:r w:rsidRPr="00085A59">
        <w:rPr>
          <w:rFonts w:ascii="Alegreya" w:hAnsi="Alegreya"/>
          <w:color w:val="1F1A17"/>
        </w:rPr>
        <w:t>desde 1833, uma elite local nativista ganhava cadeiras na Câmara de Cuiabá e no Conselho Geral, organizada na So</w:t>
      </w:r>
      <w:r w:rsidRPr="00085A59">
        <w:rPr>
          <w:rFonts w:ascii="Alegreya" w:hAnsi="Alegreya"/>
          <w:color w:val="1F1A17"/>
        </w:rPr>
        <w:t>ciedade dos Zelosos da Independência, criada pelo médico Antônio Luís Patrício da Silva Manso. Do outro lado estava a Sociedade Filantrópica, conservadora, que reunia os antigos detentores do poder.</w:t>
      </w:r>
    </w:p>
    <w:p w:rsidR="008D05AB" w:rsidRPr="00085A59" w:rsidRDefault="00534B16" w:rsidP="0071782B">
      <w:pPr>
        <w:keepNext/>
        <w:shd w:val="clear" w:color="auto" w:fill="FFFFFF" w:themeFill="background1"/>
        <w:spacing w:before="200" w:after="100"/>
        <w:ind w:firstLine="454"/>
        <w:rPr>
          <w:rFonts w:ascii="Alegreya" w:hAnsi="Alegreya"/>
          <w:sz w:val="28"/>
          <w:szCs w:val="28"/>
        </w:rPr>
      </w:pPr>
      <w:r w:rsidRPr="00085A59">
        <w:rPr>
          <w:rFonts w:ascii="Alegreya" w:hAnsi="Alegreya"/>
          <w:b/>
          <w:bCs/>
          <w:sz w:val="28"/>
          <w:szCs w:val="28"/>
        </w:rPr>
        <w:t>3. Estopim político</w:t>
      </w:r>
      <w:r w:rsidRPr="00085A59">
        <w:rPr>
          <w:rFonts w:ascii="Alegreya" w:eastAsia="Arial" w:hAnsi="Alegreya" w:cs="Arial"/>
          <w:sz w:val="28"/>
          <w:szCs w:val="28"/>
        </w:rPr>
        <w:t xml:space="preserve">     Integrante 3 </w:t>
      </w:r>
      <w:r w:rsidR="00085A59">
        <w:rPr>
          <w:rFonts w:ascii="Alegreya" w:eastAsia="Arial" w:hAnsi="Alegreya" w:cs="Arial"/>
          <w:sz w:val="28"/>
          <w:szCs w:val="28"/>
        </w:rPr>
        <w:t>-</w:t>
      </w:r>
      <w:r w:rsidRPr="00085A59">
        <w:rPr>
          <w:rFonts w:ascii="Alegreya" w:eastAsia="Arial" w:hAnsi="Alegreya" w:cs="Arial"/>
          <w:sz w:val="28"/>
          <w:szCs w:val="28"/>
        </w:rPr>
        <w:t xml:space="preserve">  3 min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>11 de maio</w:t>
      </w:r>
      <w:r w:rsidRPr="00085A59">
        <w:rPr>
          <w:rFonts w:ascii="Alegreya" w:hAnsi="Alegreya"/>
          <w:b/>
          <w:bCs/>
          <w:color w:val="1F1A17"/>
        </w:rPr>
        <w:t xml:space="preserve"> de 1834: </w:t>
      </w:r>
      <w:r w:rsidRPr="00085A59">
        <w:rPr>
          <w:rFonts w:ascii="Alegreya" w:hAnsi="Alegreya"/>
          <w:color w:val="1F1A17"/>
        </w:rPr>
        <w:t>reunião de membros dos Zelosos na casa do juiz de direito Pascoal Domingues de Miranda, segundo a cronologia de Estevão de Mendonça.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28 de maio de 1834: </w:t>
      </w:r>
      <w:r w:rsidRPr="00085A59">
        <w:rPr>
          <w:rFonts w:ascii="Alegreya" w:hAnsi="Alegreya"/>
          <w:color w:val="1F1A17"/>
        </w:rPr>
        <w:t>o coronel João Poupino Caldas, membro dos Zelosos, assume interinamente o governo da provínci</w:t>
      </w:r>
      <w:r w:rsidRPr="00085A59">
        <w:rPr>
          <w:rFonts w:ascii="Alegreya" w:hAnsi="Alegreya"/>
          <w:color w:val="1F1A17"/>
        </w:rPr>
        <w:t>a. Circulavam boatos inflamados, entre eles o de que a Regência teria autorizado matar e roubar portugueses por dois meses.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Noite de 30 de maio: </w:t>
      </w:r>
      <w:r w:rsidRPr="00085A59">
        <w:rPr>
          <w:rFonts w:ascii="Alegreya" w:hAnsi="Alegreya"/>
          <w:color w:val="1F1A17"/>
        </w:rPr>
        <w:t>cerca de oitenta homens se reúnem no Campo d'Ourique, sob o comando do tenente Sebastião Rodrigues da Costa e d</w:t>
      </w:r>
      <w:r w:rsidRPr="00085A59">
        <w:rPr>
          <w:rFonts w:ascii="Alegreya" w:hAnsi="Alegreya"/>
          <w:color w:val="1F1A17"/>
        </w:rPr>
        <w:t xml:space="preserve">e Eusébio Luís de Brito. A Guarda Nacional, com </w:t>
      </w:r>
      <w:r w:rsidRPr="00085A59">
        <w:rPr>
          <w:rFonts w:ascii="Alegreya" w:hAnsi="Alegreya"/>
          <w:color w:val="1F1A17"/>
        </w:rPr>
        <w:lastRenderedPageBreak/>
        <w:t>Bento Franco de Camargo à frente, toma o quartel dos Municipais Permanentes. Ao grito de "morram os bicudos", portas são arrombadas com machados.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Quem foi atingido: comerciantes portugueses e membros da elite</w:t>
      </w:r>
      <w:r w:rsidRPr="00085A59">
        <w:rPr>
          <w:rFonts w:ascii="Alegreya" w:hAnsi="Alegreya"/>
          <w:color w:val="1F1A17"/>
        </w:rPr>
        <w:t xml:space="preserve"> ligada ao governo anterior. Onze casas de brasileiros adotivos foram arrombadas.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Reação das autoridades: Poupino Caldas tentou conter o levante sem sucesso, e o bispo de Cuiabá pediu publicamente o fim das mortes.</w:t>
      </w:r>
    </w:p>
    <w:p w:rsidR="008D05AB" w:rsidRPr="00085A59" w:rsidRDefault="00534B16" w:rsidP="0071782B">
      <w:pPr>
        <w:keepNext/>
        <w:shd w:val="clear" w:color="auto" w:fill="FFFFFF" w:themeFill="background1"/>
        <w:spacing w:before="200" w:after="100"/>
        <w:ind w:firstLine="454"/>
        <w:rPr>
          <w:rFonts w:ascii="Alegreya" w:hAnsi="Alegreya"/>
          <w:sz w:val="28"/>
          <w:szCs w:val="28"/>
        </w:rPr>
      </w:pPr>
      <w:r w:rsidRPr="00085A59">
        <w:rPr>
          <w:rFonts w:ascii="Alegreya" w:hAnsi="Alegreya"/>
          <w:b/>
          <w:bCs/>
          <w:sz w:val="28"/>
          <w:szCs w:val="28"/>
        </w:rPr>
        <w:t>4. Desdobramento e desfecho</w:t>
      </w:r>
      <w:r w:rsidRPr="00085A59">
        <w:rPr>
          <w:rFonts w:ascii="Alegreya" w:eastAsia="Arial" w:hAnsi="Alegreya" w:cs="Arial"/>
          <w:sz w:val="28"/>
          <w:szCs w:val="28"/>
        </w:rPr>
        <w:t xml:space="preserve">     Integrant</w:t>
      </w:r>
      <w:r w:rsidRPr="00085A59">
        <w:rPr>
          <w:rFonts w:ascii="Alegreya" w:eastAsia="Arial" w:hAnsi="Alegreya" w:cs="Arial"/>
          <w:sz w:val="28"/>
          <w:szCs w:val="28"/>
        </w:rPr>
        <w:t>es 4 e 5  |  4 min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Organização: </w:t>
      </w:r>
      <w:r w:rsidRPr="00085A59">
        <w:rPr>
          <w:rFonts w:ascii="Alegreya" w:hAnsi="Alegreya"/>
          <w:color w:val="1F1A17"/>
        </w:rPr>
        <w:t>os rebeldes não formaram exército próprio nem proclamaram república. Usaram a Guarda Nacional e os cargos que já ocupavam para tirar os adversários do poder, sem propor a separação do Império.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A violência fugiu ao controle d</w:t>
      </w:r>
      <w:r w:rsidRPr="00085A59">
        <w:rPr>
          <w:rFonts w:ascii="Alegreya" w:hAnsi="Alegreya"/>
          <w:color w:val="1F1A17"/>
        </w:rPr>
        <w:t>os líderes. Expedições perseguiram fugitivos em Diamantino, Poconé, Chapada dos Guimarães, Santo Antônio do Leverger, Rosário e até Miranda, no sul da província.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Lideranças: </w:t>
      </w:r>
      <w:r w:rsidRPr="00085A59">
        <w:rPr>
          <w:rFonts w:ascii="Alegreya" w:hAnsi="Alegreya"/>
          <w:color w:val="1F1A17"/>
        </w:rPr>
        <w:t>cinco homens da elite local foram acusados de liderar a sedição: o comerciante José Alves Ribeiro, os vereadores Bento Franco de Camargo e Brás Pereira Mendes, o promotor José Jacinto de Carvalho e o juiz Pascoal Domingues de Miranda. Quem executou os ataq</w:t>
      </w:r>
      <w:r w:rsidRPr="00085A59">
        <w:rPr>
          <w:rFonts w:ascii="Alegreya" w:hAnsi="Alegreya"/>
          <w:color w:val="1F1A17"/>
        </w:rPr>
        <w:t>ues foram soldados e moradores pobres.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Duração: a violência se concentrou no fim de maio e começo de junho. O grupo ficou cerca de três meses no controle, até a posse de Antônio Pedro de Alencastro, em 29 de setembro de 1834.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Mortos: </w:t>
      </w:r>
      <w:r w:rsidRPr="00085A59">
        <w:rPr>
          <w:rFonts w:ascii="Alegreya" w:hAnsi="Alegreya"/>
          <w:color w:val="1F1A17"/>
        </w:rPr>
        <w:t>as fontes divergem mui</w:t>
      </w:r>
      <w:r w:rsidRPr="00085A59">
        <w:rPr>
          <w:rFonts w:ascii="Alegreya" w:hAnsi="Alegreya"/>
          <w:color w:val="1F1A17"/>
        </w:rPr>
        <w:t>to. A historiadora Patricia Aguiar fala em dezenas de portugueses e alguns brasileiros mortos; relatos mais antigos trazem números bem diferentes. Vamos mostrar essa divergência à turma.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Julgamento: o processo começou em 31 de outubro de 1834, com 21 réus.</w:t>
      </w:r>
      <w:r w:rsidRPr="00085A59">
        <w:rPr>
          <w:rFonts w:ascii="Alegreya" w:hAnsi="Alegreya"/>
          <w:color w:val="1F1A17"/>
        </w:rPr>
        <w:t xml:space="preserve"> Os líderes, enviados à Corte, foram soltos pouco mais de um ano depois. Os presos pobres ficaram anos nas cadeias de Mato Grosso esperando sentença.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1F1A17"/>
        </w:rPr>
        <w:t xml:space="preserve">Memória: </w:t>
      </w:r>
      <w:r w:rsidRPr="00085A59">
        <w:rPr>
          <w:rFonts w:ascii="Alegreya" w:hAnsi="Alegreya"/>
          <w:color w:val="1F1A17"/>
        </w:rPr>
        <w:t>a Rusga quase não aparece nos livros didáticos. Em 2002, o pintor Moacyr Freitas representou o at</w:t>
      </w:r>
      <w:r w:rsidRPr="00085A59">
        <w:rPr>
          <w:rFonts w:ascii="Alegreya" w:hAnsi="Alegreya"/>
          <w:color w:val="1F1A17"/>
        </w:rPr>
        <w:t>aque na tela "As Rusgas", do acervo do governo de Mato Grosso.</w:t>
      </w:r>
    </w:p>
    <w:p w:rsidR="008D05AB" w:rsidRPr="00085A59" w:rsidRDefault="00534B16" w:rsidP="0071782B">
      <w:pPr>
        <w:keepNext/>
        <w:spacing w:before="160" w:after="80" w:line="300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b/>
          <w:bCs/>
          <w:color w:val="C0392B"/>
          <w:sz w:val="24"/>
          <w:szCs w:val="24"/>
        </w:rPr>
        <w:t>Perguntas que o grupo treinou para o debate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Por que os portugueses eram chamados de "bicudos" e de "adotivos"?</w:t>
      </w:r>
    </w:p>
    <w:p w:rsidR="00085A59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 xml:space="preserve">A Rusga foi uma revolta popular ou uma disputa dentro da elite? </w:t>
      </w:r>
    </w:p>
    <w:p w:rsidR="008D05AB" w:rsidRPr="00085A59" w:rsidRDefault="00534B16" w:rsidP="0071782B">
      <w:pPr>
        <w:pStyle w:val="PargrafodaLista"/>
        <w:numPr>
          <w:ilvl w:val="0"/>
          <w:numId w:val="2"/>
        </w:numPr>
        <w:spacing w:after="50" w:line="276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>Por que os líderes ricos foram soltos antes dos soldados e moradores pobres?</w:t>
      </w:r>
    </w:p>
    <w:p w:rsidR="00085A59" w:rsidRDefault="00085A59" w:rsidP="0071782B">
      <w:pPr>
        <w:spacing w:after="50" w:line="276" w:lineRule="auto"/>
        <w:ind w:firstLine="454"/>
        <w:rPr>
          <w:rFonts w:ascii="Alegreya" w:hAnsi="Alegreya"/>
        </w:rPr>
      </w:pPr>
    </w:p>
    <w:p w:rsidR="00085A59" w:rsidRDefault="00085A59" w:rsidP="0071782B">
      <w:pPr>
        <w:spacing w:after="50" w:line="276" w:lineRule="auto"/>
        <w:ind w:firstLine="454"/>
        <w:rPr>
          <w:rFonts w:ascii="Alegreya" w:hAnsi="Alegreya"/>
        </w:rPr>
      </w:pPr>
    </w:p>
    <w:p w:rsidR="00085A59" w:rsidRDefault="00085A59" w:rsidP="0071782B">
      <w:pPr>
        <w:spacing w:after="50" w:line="276" w:lineRule="auto"/>
        <w:ind w:firstLine="454"/>
        <w:rPr>
          <w:rFonts w:ascii="Alegreya" w:hAnsi="Alegreya"/>
        </w:rPr>
      </w:pPr>
    </w:p>
    <w:p w:rsidR="00085A59" w:rsidRDefault="00085A59" w:rsidP="0071782B">
      <w:pPr>
        <w:spacing w:after="50" w:line="276" w:lineRule="auto"/>
        <w:ind w:firstLine="454"/>
        <w:rPr>
          <w:rFonts w:ascii="Alegreya" w:hAnsi="Alegreya"/>
        </w:rPr>
      </w:pPr>
    </w:p>
    <w:p w:rsidR="00085A59" w:rsidRDefault="00085A59" w:rsidP="0071782B">
      <w:pPr>
        <w:spacing w:after="50" w:line="276" w:lineRule="auto"/>
        <w:ind w:firstLine="454"/>
        <w:rPr>
          <w:rFonts w:ascii="Alegreya" w:hAnsi="Alegreya"/>
        </w:rPr>
      </w:pPr>
    </w:p>
    <w:p w:rsidR="00085A59" w:rsidRPr="00085A59" w:rsidRDefault="00085A59" w:rsidP="0071782B">
      <w:pPr>
        <w:spacing w:after="50" w:line="276" w:lineRule="auto"/>
        <w:ind w:firstLine="454"/>
        <w:rPr>
          <w:rFonts w:ascii="Alegreya" w:hAnsi="Alegreya"/>
        </w:rPr>
      </w:pPr>
    </w:p>
    <w:p w:rsidR="008D05AB" w:rsidRPr="00085A59" w:rsidRDefault="00534B16" w:rsidP="0071782B">
      <w:pPr>
        <w:shd w:val="clear" w:color="auto" w:fill="FFFFFF" w:themeFill="background1"/>
        <w:spacing w:before="60" w:after="160"/>
        <w:ind w:firstLine="454"/>
        <w:jc w:val="center"/>
        <w:rPr>
          <w:rFonts w:ascii="Alegreya" w:hAnsi="Alegreya"/>
          <w:sz w:val="32"/>
          <w:szCs w:val="32"/>
        </w:rPr>
      </w:pPr>
      <w:r w:rsidRPr="00085A59">
        <w:rPr>
          <w:rFonts w:ascii="Alegreya" w:hAnsi="Alegreya"/>
          <w:b/>
          <w:bCs/>
          <w:sz w:val="32"/>
          <w:szCs w:val="32"/>
        </w:rPr>
        <w:t>Tópicos que serão escritos no quadro</w:t>
      </w:r>
    </w:p>
    <w:p w:rsidR="008D05AB" w:rsidRPr="00085A59" w:rsidRDefault="00534B16" w:rsidP="0071782B">
      <w:pPr>
        <w:spacing w:after="260" w:line="300" w:lineRule="auto"/>
        <w:ind w:firstLine="454"/>
        <w:rPr>
          <w:rFonts w:ascii="Alegreya" w:hAnsi="Alegreya"/>
        </w:rPr>
      </w:pPr>
      <w:r w:rsidRPr="00085A59">
        <w:rPr>
          <w:rFonts w:ascii="Alegreya" w:hAnsi="Alegreya"/>
          <w:color w:val="1F1A17"/>
        </w:rPr>
        <w:t xml:space="preserve">O grupo escreve o roteiro abaixo no quadro antes de começar. As frases são curtas de propósito: servem para a turma acompanhar </w:t>
      </w:r>
      <w:r w:rsidRPr="00085A59">
        <w:rPr>
          <w:rFonts w:ascii="Alegreya" w:hAnsi="Alegreya"/>
          <w:color w:val="1F1A17"/>
        </w:rPr>
        <w:t>e para quem estiver falando não perder o fio.</w:t>
      </w:r>
    </w:p>
    <w:tbl>
      <w:tblPr>
        <w:tblW w:w="9638" w:type="dxa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782B" w:rsidRPr="0071782B" w:rsidTr="0071782B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8" w:space="0" w:color="8B6F47"/>
              <w:left w:val="single" w:sz="48" w:space="0" w:color="8B6F47"/>
              <w:bottom w:val="single" w:sz="48" w:space="0" w:color="8B6F47"/>
              <w:right w:val="single" w:sz="48" w:space="0" w:color="8B6F47"/>
            </w:tcBorders>
            <w:shd w:val="clear" w:color="auto" w:fill="FFFFFF" w:themeFill="background1"/>
            <w:tcMar>
              <w:top w:w="300" w:type="dxa"/>
              <w:left w:w="360" w:type="dxa"/>
              <w:bottom w:w="300" w:type="dxa"/>
              <w:right w:w="360" w:type="dxa"/>
            </w:tcMar>
          </w:tcPr>
          <w:p w:rsidR="008D05AB" w:rsidRPr="0071782B" w:rsidRDefault="00534B16" w:rsidP="0071782B">
            <w:pPr>
              <w:spacing w:after="280" w:line="300" w:lineRule="auto"/>
              <w:ind w:firstLine="454"/>
              <w:jc w:val="center"/>
              <w:rPr>
                <w:rFonts w:ascii="Alegreya" w:hAnsi="Alegreya"/>
              </w:rPr>
            </w:pPr>
            <w:r w:rsidRPr="0071782B">
              <w:rPr>
                <w:rFonts w:ascii="Alegreya" w:hAnsi="Alegreya"/>
                <w:b/>
                <w:bCs/>
                <w:sz w:val="32"/>
                <w:szCs w:val="32"/>
              </w:rPr>
              <w:t>RUSGA  |  Cuiabá, Mato Grosso  |  30/5/1834</w:t>
            </w:r>
          </w:p>
          <w:p w:rsidR="008D05AB" w:rsidRPr="0071782B" w:rsidRDefault="00534B16" w:rsidP="0071782B">
            <w:pPr>
              <w:spacing w:after="220" w:line="360" w:lineRule="auto"/>
              <w:ind w:left="420" w:firstLine="454"/>
              <w:rPr>
                <w:rFonts w:ascii="Alegreya" w:hAnsi="Alegreya"/>
              </w:rPr>
            </w:pP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1. </w:t>
            </w: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Contexto: </w:t>
            </w:r>
            <w:r w:rsidRPr="0071782B">
              <w:rPr>
                <w:rFonts w:ascii="Alegreya" w:hAnsi="Alegreya"/>
                <w:sz w:val="27"/>
                <w:szCs w:val="27"/>
              </w:rPr>
              <w:t>Regência Trina Permanente; moderados x exaltados x caramurus; brasileiro nato x adotivo</w:t>
            </w:r>
          </w:p>
          <w:p w:rsidR="008D05AB" w:rsidRPr="0071782B" w:rsidRDefault="00534B16" w:rsidP="0071782B">
            <w:pPr>
              <w:spacing w:after="220" w:line="360" w:lineRule="auto"/>
              <w:ind w:left="420" w:firstLine="454"/>
              <w:rPr>
                <w:rFonts w:ascii="Alegreya" w:hAnsi="Alegreya"/>
              </w:rPr>
            </w:pP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2. </w:t>
            </w: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Lugar: </w:t>
            </w:r>
            <w:r w:rsidRPr="0071782B">
              <w:rPr>
                <w:rFonts w:ascii="Alegreya" w:hAnsi="Alegreya"/>
                <w:sz w:val="27"/>
                <w:szCs w:val="27"/>
              </w:rPr>
              <w:t>fronteira oeste; ouro em declínio; comércio nas mãos de portugueses; Zelosos da Independência x Sociedade Filantrópica</w:t>
            </w:r>
          </w:p>
          <w:p w:rsidR="00085A59" w:rsidRPr="0071782B" w:rsidRDefault="00534B16" w:rsidP="0071782B">
            <w:pPr>
              <w:spacing w:after="220" w:line="360" w:lineRule="auto"/>
              <w:ind w:left="420" w:firstLine="454"/>
              <w:rPr>
                <w:rFonts w:ascii="Alegreya" w:hAnsi="Alegreya"/>
                <w:sz w:val="27"/>
                <w:szCs w:val="27"/>
              </w:rPr>
            </w:pP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3. </w:t>
            </w: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Estopim: </w:t>
            </w:r>
            <w:r w:rsidR="00085A59" w:rsidRPr="0071782B">
              <w:rPr>
                <w:rFonts w:ascii="Alegreya" w:hAnsi="Alegreya"/>
                <w:sz w:val="27"/>
                <w:szCs w:val="27"/>
              </w:rPr>
              <w:t>28/5 Poupino Caldas no governo</w:t>
            </w:r>
          </w:p>
          <w:p w:rsidR="008D05AB" w:rsidRPr="0071782B" w:rsidRDefault="00534B16" w:rsidP="0071782B">
            <w:pPr>
              <w:spacing w:after="220" w:line="360" w:lineRule="auto"/>
              <w:ind w:left="420" w:firstLine="454"/>
              <w:rPr>
                <w:rFonts w:ascii="Alegreya" w:hAnsi="Alegreya"/>
              </w:rPr>
            </w:pPr>
            <w:r w:rsidRPr="0071782B">
              <w:rPr>
                <w:rFonts w:ascii="Alegreya" w:hAnsi="Alegreya"/>
                <w:sz w:val="27"/>
                <w:szCs w:val="27"/>
              </w:rPr>
              <w:t>30/5 cerca de 80 homens no Campo d'Ourique; "morram os bicudos"</w:t>
            </w:r>
          </w:p>
          <w:p w:rsidR="008D05AB" w:rsidRPr="0071782B" w:rsidRDefault="00534B16" w:rsidP="0071782B">
            <w:pPr>
              <w:spacing w:after="220" w:line="360" w:lineRule="auto"/>
              <w:ind w:left="420" w:firstLine="454"/>
              <w:rPr>
                <w:rFonts w:ascii="Alegreya" w:hAnsi="Alegreya"/>
              </w:rPr>
            </w:pP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4. </w:t>
            </w:r>
            <w:r w:rsidRPr="0071782B">
              <w:rPr>
                <w:rFonts w:ascii="Alegreya" w:hAnsi="Alegreya"/>
                <w:b/>
                <w:bCs/>
                <w:color w:val="FF0000"/>
                <w:sz w:val="28"/>
                <w:szCs w:val="28"/>
              </w:rPr>
              <w:t xml:space="preserve">Desfecho: </w:t>
            </w:r>
            <w:r w:rsidRPr="0071782B">
              <w:rPr>
                <w:rFonts w:ascii="Alegreya" w:hAnsi="Alegreya"/>
                <w:sz w:val="27"/>
                <w:szCs w:val="27"/>
              </w:rPr>
              <w:t>3 meses no poder</w:t>
            </w:r>
            <w:r w:rsidRPr="0071782B">
              <w:rPr>
                <w:rFonts w:ascii="Alegreya" w:hAnsi="Alegreya"/>
                <w:sz w:val="27"/>
                <w:szCs w:val="27"/>
              </w:rPr>
              <w:t>; Alencastro assume em 29/9/1834; processo com 21 réus; líderes soltos, pobres presos</w:t>
            </w:r>
          </w:p>
          <w:p w:rsidR="008D05AB" w:rsidRPr="0071782B" w:rsidRDefault="00534B16" w:rsidP="0071782B">
            <w:pPr>
              <w:spacing w:before="120" w:line="300" w:lineRule="auto"/>
              <w:ind w:firstLine="454"/>
              <w:rPr>
                <w:rFonts w:ascii="Alegreya" w:hAnsi="Alegreya"/>
              </w:rPr>
            </w:pPr>
            <w:r w:rsidRPr="0071782B">
              <w:rPr>
                <w:rFonts w:ascii="Alegreya" w:hAnsi="Alegreya"/>
                <w:i/>
                <w:iCs/>
                <w:sz w:val="24"/>
                <w:szCs w:val="24"/>
              </w:rPr>
              <w:t>Palavras para explicar: bicudos, adotivos, caramurus, Guarda Nacional, sedição</w:t>
            </w:r>
          </w:p>
        </w:tc>
      </w:tr>
    </w:tbl>
    <w:p w:rsidR="0071782B" w:rsidRDefault="0071782B" w:rsidP="0071782B">
      <w:pPr>
        <w:shd w:val="clear" w:color="auto" w:fill="FFFFFF" w:themeFill="background1"/>
        <w:spacing w:before="60" w:after="160"/>
        <w:ind w:firstLine="454"/>
        <w:rPr>
          <w:rFonts w:ascii="Alegreya" w:hAnsi="Alegreya"/>
          <w:b/>
          <w:bCs/>
          <w:sz w:val="32"/>
          <w:szCs w:val="32"/>
        </w:rPr>
      </w:pPr>
    </w:p>
    <w:p w:rsidR="0071782B" w:rsidRDefault="0071782B" w:rsidP="0071782B">
      <w:pPr>
        <w:ind w:firstLine="454"/>
        <w:rPr>
          <w:rFonts w:ascii="Alegreya" w:hAnsi="Alegreya"/>
          <w:b/>
          <w:bCs/>
          <w:sz w:val="32"/>
          <w:szCs w:val="32"/>
        </w:rPr>
      </w:pPr>
      <w:r>
        <w:rPr>
          <w:rFonts w:ascii="Alegreya" w:hAnsi="Alegreya"/>
          <w:b/>
          <w:bCs/>
          <w:sz w:val="32"/>
          <w:szCs w:val="32"/>
        </w:rPr>
        <w:br w:type="page"/>
      </w:r>
    </w:p>
    <w:p w:rsidR="008D05AB" w:rsidRPr="0071782B" w:rsidRDefault="00534B16" w:rsidP="0071782B">
      <w:pPr>
        <w:shd w:val="clear" w:color="auto" w:fill="FFFFFF" w:themeFill="background1"/>
        <w:spacing w:before="60" w:after="160"/>
        <w:ind w:firstLine="454"/>
        <w:jc w:val="center"/>
        <w:rPr>
          <w:rFonts w:ascii="Alegreya" w:hAnsi="Alegreya"/>
          <w:sz w:val="32"/>
          <w:szCs w:val="32"/>
        </w:rPr>
      </w:pPr>
      <w:r w:rsidRPr="0071782B">
        <w:rPr>
          <w:rFonts w:ascii="Alegreya" w:hAnsi="Alegreya"/>
          <w:b/>
          <w:bCs/>
          <w:sz w:val="32"/>
          <w:szCs w:val="32"/>
        </w:rPr>
        <w:lastRenderedPageBreak/>
        <w:t>Fontes consultadas</w:t>
      </w:r>
    </w:p>
    <w:p w:rsidR="008D05AB" w:rsidRPr="0071782B" w:rsidRDefault="00534B16" w:rsidP="0071782B">
      <w:pPr>
        <w:spacing w:after="180" w:line="300" w:lineRule="auto"/>
        <w:ind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sz w:val="24"/>
          <w:szCs w:val="24"/>
        </w:rPr>
        <w:t>O grupo consultou mais de três fontes, sendo três delas livros de historiadores. As referências seguem as normas da ABNT; nas páginas da internet, anota-se o endereço e a data de acesso.</w:t>
      </w:r>
    </w:p>
    <w:p w:rsidR="008D05AB" w:rsidRPr="0071782B" w:rsidRDefault="00534B16" w:rsidP="0071782B">
      <w:pPr>
        <w:keepNext/>
        <w:spacing w:before="160" w:after="80" w:line="300" w:lineRule="auto"/>
        <w:ind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>Livros e artigos de historiadores</w:t>
      </w:r>
    </w:p>
    <w:p w:rsidR="008D05AB" w:rsidRPr="0071782B" w:rsidRDefault="00534B16" w:rsidP="0071782B">
      <w:pPr>
        <w:spacing w:after="40" w:line="29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sz w:val="24"/>
          <w:szCs w:val="24"/>
        </w:rPr>
        <w:t xml:space="preserve">AGUIAR, Patricia Figueiredo. </w:t>
      </w:r>
      <w:r w:rsidRPr="0071782B">
        <w:rPr>
          <w:rFonts w:ascii="Alegreya" w:hAnsi="Alegreya"/>
          <w:bCs/>
          <w:i/>
          <w:sz w:val="24"/>
          <w:szCs w:val="24"/>
        </w:rPr>
        <w:t>Uma se</w:t>
      </w:r>
      <w:r w:rsidRPr="0071782B">
        <w:rPr>
          <w:rFonts w:ascii="Alegreya" w:hAnsi="Alegreya"/>
          <w:bCs/>
          <w:i/>
          <w:sz w:val="24"/>
          <w:szCs w:val="24"/>
        </w:rPr>
        <w:t>dição no sertão</w:t>
      </w:r>
      <w:r w:rsidRPr="0071782B">
        <w:rPr>
          <w:rFonts w:ascii="Alegreya" w:hAnsi="Alegreya"/>
          <w:sz w:val="24"/>
          <w:szCs w:val="24"/>
        </w:rPr>
        <w:t>: a Rusga em Cuiabá (1834). Cuiabá: EdUFMT, 2020.</w:t>
      </w:r>
    </w:p>
    <w:p w:rsidR="008D05AB" w:rsidRPr="0071782B" w:rsidRDefault="00534B16" w:rsidP="0071782B">
      <w:pPr>
        <w:spacing w:after="40" w:line="29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sz w:val="24"/>
          <w:szCs w:val="24"/>
        </w:rPr>
        <w:t xml:space="preserve">CORRÊA, Valmir Batista. </w:t>
      </w:r>
      <w:r w:rsidRPr="0071782B">
        <w:rPr>
          <w:rFonts w:ascii="Alegreya" w:hAnsi="Alegreya"/>
          <w:bCs/>
          <w:i/>
          <w:sz w:val="24"/>
          <w:szCs w:val="24"/>
        </w:rPr>
        <w:t>História e violência em Mato Grosso</w:t>
      </w:r>
      <w:r w:rsidRPr="0071782B">
        <w:rPr>
          <w:rFonts w:ascii="Alegreya" w:hAnsi="Alegreya"/>
          <w:i/>
          <w:sz w:val="24"/>
          <w:szCs w:val="24"/>
        </w:rPr>
        <w:t>:</w:t>
      </w:r>
      <w:r w:rsidRPr="0071782B">
        <w:rPr>
          <w:rFonts w:ascii="Alegreya" w:hAnsi="Alegreya"/>
          <w:sz w:val="24"/>
          <w:szCs w:val="24"/>
        </w:rPr>
        <w:t xml:space="preserve"> 1817-1840. Campo Grande: Editora UFMS, 2000.</w:t>
      </w:r>
    </w:p>
    <w:p w:rsidR="008D05AB" w:rsidRPr="0071782B" w:rsidRDefault="00534B16" w:rsidP="0071782B">
      <w:pPr>
        <w:spacing w:after="40" w:line="29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sz w:val="24"/>
          <w:szCs w:val="24"/>
        </w:rPr>
        <w:t xml:space="preserve">MOREL, Marco. </w:t>
      </w:r>
      <w:r w:rsidRPr="0071782B">
        <w:rPr>
          <w:rFonts w:ascii="Alegreya" w:hAnsi="Alegreya"/>
          <w:bCs/>
          <w:i/>
          <w:sz w:val="24"/>
          <w:szCs w:val="24"/>
        </w:rPr>
        <w:t>O período das Regências (1831-1840)</w:t>
      </w:r>
      <w:r w:rsidRPr="0071782B">
        <w:rPr>
          <w:rFonts w:ascii="Alegreya" w:hAnsi="Alegreya"/>
          <w:i/>
          <w:sz w:val="24"/>
          <w:szCs w:val="24"/>
        </w:rPr>
        <w:t>.</w:t>
      </w:r>
      <w:r w:rsidRPr="0071782B">
        <w:rPr>
          <w:rFonts w:ascii="Alegreya" w:hAnsi="Alegreya"/>
          <w:sz w:val="24"/>
          <w:szCs w:val="24"/>
        </w:rPr>
        <w:t xml:space="preserve"> Rio de Janeiro: Jorge Zahar, 2003.</w:t>
      </w:r>
    </w:p>
    <w:p w:rsidR="008D05AB" w:rsidRPr="0071782B" w:rsidRDefault="00534B16" w:rsidP="0071782B">
      <w:pPr>
        <w:keepNext/>
        <w:spacing w:before="160" w:after="80" w:line="300" w:lineRule="auto"/>
        <w:ind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b/>
          <w:bCs/>
          <w:sz w:val="24"/>
          <w:szCs w:val="24"/>
        </w:rPr>
        <w:t>Páginas da internet</w:t>
      </w:r>
    </w:p>
    <w:p w:rsidR="008D05AB" w:rsidRPr="0071782B" w:rsidRDefault="00534B16" w:rsidP="0071782B">
      <w:pPr>
        <w:spacing w:after="40" w:line="29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sz w:val="24"/>
          <w:szCs w:val="24"/>
        </w:rPr>
        <w:t>IMPRESSÕES REBELDES. A R</w:t>
      </w:r>
      <w:r w:rsidRPr="0071782B">
        <w:rPr>
          <w:rFonts w:ascii="Alegreya" w:hAnsi="Alegreya"/>
          <w:sz w:val="24"/>
          <w:szCs w:val="24"/>
        </w:rPr>
        <w:t>usga. Niterói: Universidade Federal Fluminense, 2025. Disponível em: https://www.historia.uff.br/impressoesrebeldes/revolta/rusga/. Acesso em: 27 set. 2026.</w:t>
      </w:r>
    </w:p>
    <w:p w:rsidR="008D05AB" w:rsidRPr="0071782B" w:rsidRDefault="00534B16" w:rsidP="0071782B">
      <w:pPr>
        <w:spacing w:after="170" w:line="30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i/>
          <w:iCs/>
          <w:sz w:val="24"/>
          <w:szCs w:val="24"/>
        </w:rPr>
        <w:t>Texto assinado pela historiadora Patricia Aguiar, com lista de réus, datas e bibliografia.</w:t>
      </w:r>
    </w:p>
    <w:p w:rsidR="008D05AB" w:rsidRPr="0071782B" w:rsidRDefault="00534B16" w:rsidP="0071782B">
      <w:pPr>
        <w:spacing w:after="40" w:line="29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sz w:val="24"/>
          <w:szCs w:val="24"/>
        </w:rPr>
        <w:t>WIKIPÉDIA. Rusga. Disponível em: https://pt.wikipedia.org/wiki/Rusga. Acesso em: 27 set. 2026.</w:t>
      </w:r>
    </w:p>
    <w:p w:rsidR="008D05AB" w:rsidRPr="0071782B" w:rsidRDefault="00534B16" w:rsidP="0071782B">
      <w:pPr>
        <w:spacing w:after="170" w:line="300" w:lineRule="auto"/>
        <w:ind w:left="440" w:firstLine="454"/>
        <w:rPr>
          <w:rFonts w:ascii="Alegreya" w:hAnsi="Alegreya"/>
          <w:sz w:val="24"/>
          <w:szCs w:val="24"/>
        </w:rPr>
      </w:pPr>
      <w:r w:rsidRPr="0071782B">
        <w:rPr>
          <w:rFonts w:ascii="Alegreya" w:hAnsi="Alegreya"/>
          <w:i/>
          <w:iCs/>
          <w:sz w:val="24"/>
          <w:szCs w:val="24"/>
        </w:rPr>
        <w:t>Usada só como ponto de partida. Os dados aproveitados, como a posse de Poupino Caldas em 28 de maio, foram conferidos no livro de Sena, citado nas referências da</w:t>
      </w:r>
      <w:r w:rsidRPr="0071782B">
        <w:rPr>
          <w:rFonts w:ascii="Alegreya" w:hAnsi="Alegreya"/>
          <w:i/>
          <w:iCs/>
          <w:sz w:val="24"/>
          <w:szCs w:val="24"/>
        </w:rPr>
        <w:t xml:space="preserve"> própria página.</w:t>
      </w:r>
    </w:p>
    <w:p w:rsidR="0071782B" w:rsidRPr="0071782B" w:rsidRDefault="0071782B" w:rsidP="0071782B">
      <w:pPr>
        <w:ind w:firstLine="454"/>
        <w:rPr>
          <w:rFonts w:ascii="Alegreya" w:hAnsi="Alegreya"/>
        </w:rPr>
      </w:pPr>
    </w:p>
    <w:p w:rsidR="0071782B" w:rsidRPr="0071782B" w:rsidRDefault="0071782B" w:rsidP="0071782B">
      <w:pPr>
        <w:ind w:firstLine="454"/>
        <w:jc w:val="center"/>
        <w:rPr>
          <w:rFonts w:ascii="Alegreya" w:hAnsi="Alegreya"/>
          <w:b/>
        </w:rPr>
      </w:pPr>
      <w:r w:rsidRPr="0071782B">
        <w:rPr>
          <w:rFonts w:ascii="Alegreya" w:hAnsi="Alegreya"/>
          <w:b/>
        </w:rPr>
        <w:t>Divergência encontrada na pesquisa</w:t>
      </w:r>
    </w:p>
    <w:p w:rsidR="00534B16" w:rsidRPr="00085A59" w:rsidRDefault="0071782B" w:rsidP="0071782B">
      <w:pPr>
        <w:ind w:firstLine="454"/>
        <w:rPr>
          <w:rFonts w:ascii="Alegreya" w:hAnsi="Alegreya"/>
        </w:rPr>
      </w:pPr>
      <w:r w:rsidRPr="0071782B">
        <w:rPr>
          <w:rFonts w:ascii="Alegreya" w:hAnsi="Alegreya"/>
        </w:rPr>
        <w:t>O número de mortos varia muito de uma fonte para outra. Os estudos recentes, baseados no processo judicial, falam em dezenas de portugueses e alguns brasileiros mortos, enquanto relatos antigos e sites sem autor trazem números muito maiores, sem indicar de onde tiraram a informação. O grupo apresenta essa diferença à turma e explica por que confiou mais na pesquisa feita com documentos.</w:t>
      </w:r>
    </w:p>
    <w:sectPr w:rsidR="00534B16" w:rsidRPr="00085A59">
      <w:footerReference w:type="default" r:id="rId7"/>
      <w:pgSz w:w="11906" w:h="16838"/>
      <w:pgMar w:top="850" w:right="1134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B16" w:rsidRDefault="00534B16">
      <w:r>
        <w:separator/>
      </w:r>
    </w:p>
  </w:endnote>
  <w:endnote w:type="continuationSeparator" w:id="0">
    <w:p w:rsidR="00534B16" w:rsidRDefault="0053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egreya">
    <w:panose1 w:val="00000000000000000000"/>
    <w:charset w:val="00"/>
    <w:family w:val="modern"/>
    <w:notTrueType/>
    <w:pitch w:val="variable"/>
    <w:sig w:usb0="6000028F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5AB" w:rsidRDefault="00534B16">
    <w:pPr>
      <w:jc w:val="right"/>
    </w:pPr>
    <w:r>
      <w:rPr>
        <w:rFonts w:ascii="Arial" w:eastAsia="Arial" w:hAnsi="Arial" w:cs="Arial"/>
        <w:color w:val="6B4E31"/>
        <w:sz w:val="16"/>
        <w:szCs w:val="16"/>
      </w:rPr>
      <w:t xml:space="preserve">felipedeveza.com.br  |  página </w:t>
    </w:r>
    <w:r>
      <w:rPr>
        <w:rFonts w:ascii="Arial" w:eastAsia="Arial" w:hAnsi="Arial" w:cs="Arial"/>
        <w:color w:val="6B4E31"/>
        <w:sz w:val="16"/>
        <w:szCs w:val="16"/>
      </w:rPr>
      <w:fldChar w:fldCharType="begin"/>
    </w:r>
    <w:r>
      <w:rPr>
        <w:rFonts w:ascii="Arial" w:eastAsia="Arial" w:hAnsi="Arial" w:cs="Arial"/>
        <w:color w:val="6B4E31"/>
        <w:sz w:val="16"/>
        <w:szCs w:val="16"/>
      </w:rPr>
      <w:instrText>PAGE</w:instrText>
    </w:r>
    <w:r w:rsidR="00085A59">
      <w:rPr>
        <w:rFonts w:ascii="Arial" w:eastAsia="Arial" w:hAnsi="Arial" w:cs="Arial"/>
        <w:color w:val="6B4E31"/>
        <w:sz w:val="16"/>
        <w:szCs w:val="16"/>
      </w:rPr>
      <w:fldChar w:fldCharType="separate"/>
    </w:r>
    <w:r w:rsidR="00A3080F">
      <w:rPr>
        <w:rFonts w:ascii="Arial" w:eastAsia="Arial" w:hAnsi="Arial" w:cs="Arial"/>
        <w:noProof/>
        <w:color w:val="6B4E31"/>
        <w:sz w:val="16"/>
        <w:szCs w:val="16"/>
      </w:rPr>
      <w:t>2</w:t>
    </w:r>
    <w:r>
      <w:rPr>
        <w:rFonts w:ascii="Arial" w:eastAsia="Arial" w:hAnsi="Arial" w:cs="Arial"/>
        <w:color w:val="6B4E3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B16" w:rsidRDefault="00534B16">
      <w:r>
        <w:separator/>
      </w:r>
    </w:p>
  </w:footnote>
  <w:footnote w:type="continuationSeparator" w:id="0">
    <w:p w:rsidR="00534B16" w:rsidRDefault="00534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D755F"/>
    <w:multiLevelType w:val="hybridMultilevel"/>
    <w:tmpl w:val="FE628386"/>
    <w:lvl w:ilvl="0" w:tplc="133C2198">
      <w:start w:val="1"/>
      <w:numFmt w:val="bullet"/>
      <w:lvlText w:val="●"/>
      <w:lvlJc w:val="left"/>
      <w:pPr>
        <w:ind w:left="720" w:hanging="360"/>
      </w:pPr>
    </w:lvl>
    <w:lvl w:ilvl="1" w:tplc="404618D4">
      <w:start w:val="1"/>
      <w:numFmt w:val="bullet"/>
      <w:lvlText w:val="○"/>
      <w:lvlJc w:val="left"/>
      <w:pPr>
        <w:ind w:left="1440" w:hanging="360"/>
      </w:pPr>
    </w:lvl>
    <w:lvl w:ilvl="2" w:tplc="FCE45A5E">
      <w:start w:val="1"/>
      <w:numFmt w:val="bullet"/>
      <w:lvlText w:val="■"/>
      <w:lvlJc w:val="left"/>
      <w:pPr>
        <w:ind w:left="2160" w:hanging="360"/>
      </w:pPr>
    </w:lvl>
    <w:lvl w:ilvl="3" w:tplc="50E27B70">
      <w:start w:val="1"/>
      <w:numFmt w:val="bullet"/>
      <w:lvlText w:val="●"/>
      <w:lvlJc w:val="left"/>
      <w:pPr>
        <w:ind w:left="2880" w:hanging="360"/>
      </w:pPr>
    </w:lvl>
    <w:lvl w:ilvl="4" w:tplc="EB000048">
      <w:start w:val="1"/>
      <w:numFmt w:val="bullet"/>
      <w:lvlText w:val="○"/>
      <w:lvlJc w:val="left"/>
      <w:pPr>
        <w:ind w:left="3600" w:hanging="360"/>
      </w:pPr>
    </w:lvl>
    <w:lvl w:ilvl="5" w:tplc="3BFA52C0">
      <w:start w:val="1"/>
      <w:numFmt w:val="bullet"/>
      <w:lvlText w:val="■"/>
      <w:lvlJc w:val="left"/>
      <w:pPr>
        <w:ind w:left="4320" w:hanging="360"/>
      </w:pPr>
    </w:lvl>
    <w:lvl w:ilvl="6" w:tplc="E2543C68">
      <w:start w:val="1"/>
      <w:numFmt w:val="bullet"/>
      <w:lvlText w:val="●"/>
      <w:lvlJc w:val="left"/>
      <w:pPr>
        <w:ind w:left="5040" w:hanging="360"/>
      </w:pPr>
    </w:lvl>
    <w:lvl w:ilvl="7" w:tplc="CC0C776E">
      <w:start w:val="1"/>
      <w:numFmt w:val="bullet"/>
      <w:lvlText w:val="●"/>
      <w:lvlJc w:val="left"/>
      <w:pPr>
        <w:ind w:left="5760" w:hanging="360"/>
      </w:pPr>
    </w:lvl>
    <w:lvl w:ilvl="8" w:tplc="4492FBD2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17541975"/>
    <w:multiLevelType w:val="hybridMultilevel"/>
    <w:tmpl w:val="98521D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C69BF"/>
    <w:multiLevelType w:val="hybridMultilevel"/>
    <w:tmpl w:val="3F6A2408"/>
    <w:lvl w:ilvl="0" w:tplc="A57AC7D8">
      <w:start w:val="1"/>
      <w:numFmt w:val="bullet"/>
      <w:lvlText w:val="▪"/>
      <w:lvlJc w:val="left"/>
      <w:pPr>
        <w:ind w:left="360" w:hanging="280"/>
      </w:pPr>
      <w:rPr>
        <w:color w:val="C0392B"/>
      </w:rPr>
    </w:lvl>
    <w:lvl w:ilvl="1" w:tplc="4698B684">
      <w:numFmt w:val="decimal"/>
      <w:lvlText w:val=""/>
      <w:lvlJc w:val="left"/>
    </w:lvl>
    <w:lvl w:ilvl="2" w:tplc="83500A3A">
      <w:numFmt w:val="decimal"/>
      <w:lvlText w:val=""/>
      <w:lvlJc w:val="left"/>
    </w:lvl>
    <w:lvl w:ilvl="3" w:tplc="B4A251FE">
      <w:numFmt w:val="decimal"/>
      <w:lvlText w:val=""/>
      <w:lvlJc w:val="left"/>
    </w:lvl>
    <w:lvl w:ilvl="4" w:tplc="FEC8D3E6">
      <w:numFmt w:val="decimal"/>
      <w:lvlText w:val=""/>
      <w:lvlJc w:val="left"/>
    </w:lvl>
    <w:lvl w:ilvl="5" w:tplc="CADAA5BE">
      <w:numFmt w:val="decimal"/>
      <w:lvlText w:val=""/>
      <w:lvlJc w:val="left"/>
    </w:lvl>
    <w:lvl w:ilvl="6" w:tplc="DEA6346A">
      <w:numFmt w:val="decimal"/>
      <w:lvlText w:val=""/>
      <w:lvlJc w:val="left"/>
    </w:lvl>
    <w:lvl w:ilvl="7" w:tplc="24B495B6">
      <w:numFmt w:val="decimal"/>
      <w:lvlText w:val=""/>
      <w:lvlJc w:val="left"/>
    </w:lvl>
    <w:lvl w:ilvl="8" w:tplc="0CDCCB5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AB"/>
    <w:rsid w:val="00085A59"/>
    <w:rsid w:val="00534B16"/>
    <w:rsid w:val="0071782B"/>
    <w:rsid w:val="008D05AB"/>
    <w:rsid w:val="00A3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D0FB66-9256-4B44-8F86-6E4F55A9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Georgia" w:hAnsi="Georgia" w:cs="Georgia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1368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ficha de pesquisa: a Rusga</vt:lpstr>
    </vt:vector>
  </TitlesOfParts>
  <Company/>
  <LinksUpToDate>false</LinksUpToDate>
  <CharactersWithSpaces>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ficha de pesquisa: a Rusga</dc:title>
  <dc:creator>Felipe Deveza</dc:creator>
  <cp:lastModifiedBy>User</cp:lastModifiedBy>
  <cp:revision>2</cp:revision>
  <dcterms:created xsi:type="dcterms:W3CDTF">2026-09-27T16:22:00Z</dcterms:created>
  <dcterms:modified xsi:type="dcterms:W3CDTF">2026-09-27T16:45:00Z</dcterms:modified>
</cp:coreProperties>
</file>